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bookmarkStart w:id="0" w:name="_Hlk88590968"/>
      <w:r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  <w:t>青岛碱业发展有限公司平度分公司</w:t>
      </w:r>
    </w:p>
    <w:bookmarkEnd w:id="0"/>
    <w:p>
      <w:pPr>
        <w:spacing w:line="300" w:lineRule="auto"/>
        <w:jc w:val="center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  <w:t>碳中和技改项目-二氧化碳综合利用</w:t>
      </w:r>
    </w:p>
    <w:p>
      <w:pPr>
        <w:spacing w:line="300" w:lineRule="auto"/>
        <w:jc w:val="center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  <w:t>绿色生产碳酸二甲酯循环经济项目</w:t>
      </w:r>
    </w:p>
    <w:p>
      <w:pPr>
        <w:spacing w:line="360" w:lineRule="auto"/>
        <w:jc w:val="center"/>
        <w:rPr>
          <w:rFonts w:cs="Times New Roman" w:asciiTheme="minorEastAsia" w:hAnsiTheme="minorEastAsia" w:eastAsiaTheme="minorEastAsia"/>
          <w:color w:val="000000"/>
          <w:sz w:val="24"/>
          <w:szCs w:val="24"/>
        </w:rPr>
      </w:pPr>
      <w:r>
        <w:rPr>
          <w:rFonts w:ascii="黑体" w:hAnsi="黑体" w:eastAsia="黑体" w:cs="Times New Roman"/>
          <w:b/>
          <w:bCs/>
          <w:sz w:val="32"/>
          <w:szCs w:val="32"/>
        </w:rPr>
        <w:t>竣工环境保护验收意见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snapToGrid w:val="0"/>
          <w:color w:val="auto"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auto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auto"/>
          <w:sz w:val="24"/>
          <w:szCs w:val="24"/>
        </w:rPr>
        <w:t>日，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青岛碱业发展有限公司平度分公司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在青岛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平度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市组织召开“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青岛碱业发展有限公司平度分公司碳中和技改项目-二氧化碳综合利用绿色生产碳酸二甲酯循环经济项目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”竣工环境保护验收会议，建设单位暨验收监测报告编制单位（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青岛碱业发展有限公司平度分公司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）和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名专家（名单见附件）共同组成验收组。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验收工作组勘察了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运行情况，听取了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环境保护执行情况和竣工环境保护验收检测情况的汇报，查阅并核实了环评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val="en-US" w:eastAsia="zh-CN"/>
        </w:rPr>
        <w:t>报告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val="en-US" w:eastAsia="zh-CN"/>
        </w:rPr>
        <w:t>环评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批复及《验收监测报告》等相关资料。经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val="en-US" w:eastAsia="zh-CN"/>
        </w:rPr>
        <w:t>研究和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讨论，形成验收意见。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 w:val="0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 w:val="0"/>
          <w:color w:val="000000"/>
          <w:sz w:val="24"/>
          <w:szCs w:val="24"/>
        </w:rPr>
        <w:t>一、工程建设基本情况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1.建设地点、规模、主要建设内容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青岛碱业发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展有限公司平度分公司位于青岛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平度市新河生态化工科技产业基地海湾路8号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，碳中和技改项目-二氧化碳综合利用绿色生产碳酸二甲酯循环经济项目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在原有厂区进行建设，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占地面积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40000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平方米，建筑面积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5195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项目扩建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碳酸二甲酯（DMC）生产线，缩减原有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小苏打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产能，主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DMC生产装置和1套二氧化碳精制装置、3处罐组、1座灌装车间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配套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装卸站、变配电站、脱盐水站、循环水场、空压制氮站、废气焚烧炉等公用工程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，新增碳化反应器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DMC反应塔等主要设备设施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以二氧化碳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环氧丙烷、碳酸丙烯酯等为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辅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材料，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年产工业级碳酸二甲酯3万吨、电子级碳酸二甲酯2万吨、医药级丙二醇4.125万吨，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有工程小苏打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产量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由8万吨/年减产至4.8万吨/年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新增定员34人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，每天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运行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，每年工作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8000小时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2.建设过程及环保审批情况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青岛华益环保科技有限公司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编制完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青岛碱业发展有限公司平度分公司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eastAsia="zh-CN"/>
        </w:rPr>
        <w:t>碳中和技改项目-二氧化碳综合利用绿色生产碳酸二甲酯循环经济项目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环境影响报告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》；202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日，项目取得青岛市生态环境局的环评批复（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青环审〔202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建成并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投入试运行。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3.投资情况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总投资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>35000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万元，其中环保投资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>2070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环保投资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占总投资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5.91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4.验收范围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本次验收范围为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青岛碱业发展有限公司平度分公司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eastAsia="zh-CN"/>
        </w:rPr>
        <w:t>碳中和技改项目-二氧化碳综合利用绿色生产碳酸二甲酯循环经济项目</w:t>
      </w:r>
      <w:r>
        <w:rPr>
          <w:rFonts w:hint="eastAsia" w:asciiTheme="minorEastAsia" w:hAnsiTheme="minorEastAsia" w:eastAsiaTheme="minorEastAsia" w:cstheme="minorEastAsia"/>
          <w:bCs/>
          <w:snapToGrid w:val="0"/>
          <w:sz w:val="24"/>
          <w:szCs w:val="24"/>
        </w:rPr>
        <w:t>环评</w:t>
      </w:r>
      <w:r>
        <w:rPr>
          <w:rFonts w:hint="eastAsia" w:asciiTheme="minorEastAsia" w:hAnsiTheme="minorEastAsia" w:eastAsiaTheme="minorEastAsia" w:cstheme="minorEastAsia"/>
          <w:bCs/>
          <w:snapToGrid w:val="0"/>
          <w:sz w:val="24"/>
          <w:szCs w:val="24"/>
          <w:lang w:val="en-US" w:eastAsia="zh-CN"/>
        </w:rPr>
        <w:t>报告</w:t>
      </w:r>
      <w:r>
        <w:rPr>
          <w:rFonts w:hint="eastAsia" w:asciiTheme="minorEastAsia" w:hAnsiTheme="minorEastAsia" w:eastAsiaTheme="minorEastAsia" w:cstheme="minorEastAsia"/>
          <w:bCs/>
          <w:snapToGrid w:val="0"/>
          <w:sz w:val="24"/>
          <w:szCs w:val="24"/>
        </w:rPr>
        <w:t>及</w:t>
      </w:r>
      <w:r>
        <w:rPr>
          <w:rFonts w:hint="eastAsia" w:asciiTheme="minorEastAsia" w:hAnsiTheme="minorEastAsia" w:eastAsiaTheme="minorEastAsia" w:cstheme="minorEastAsia"/>
          <w:bCs/>
          <w:snapToGrid w:val="0"/>
          <w:sz w:val="24"/>
          <w:szCs w:val="24"/>
          <w:lang w:val="en-US" w:eastAsia="zh-CN"/>
        </w:rPr>
        <w:t>环评</w:t>
      </w:r>
      <w:r>
        <w:rPr>
          <w:rFonts w:hint="eastAsia" w:asciiTheme="minorEastAsia" w:hAnsiTheme="minorEastAsia" w:eastAsiaTheme="minorEastAsia" w:cstheme="minorEastAsia"/>
          <w:bCs/>
          <w:snapToGrid w:val="0"/>
          <w:sz w:val="24"/>
          <w:szCs w:val="24"/>
        </w:rPr>
        <w:t>批复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涉及的建设内容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，包括生产设备、污染治理设施及公用工程等</w:t>
      </w:r>
      <w:r>
        <w:rPr>
          <w:rFonts w:hint="eastAsia" w:asciiTheme="minorEastAsia" w:hAnsiTheme="minorEastAsia" w:eastAsiaTheme="minorEastAsia" w:cstheme="minorEastAsia"/>
          <w:bCs/>
          <w:snapToGrid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24"/>
          <w:szCs w:val="24"/>
        </w:rPr>
        <w:t>二、工程变动情况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实际建设内容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与环评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lang w:val="en-US" w:eastAsia="zh-CN"/>
        </w:rPr>
        <w:t>报告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及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lang w:val="en-US" w:eastAsia="zh-CN"/>
        </w:rPr>
        <w:t>环评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批复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lang w:val="en-US" w:eastAsia="zh-CN"/>
        </w:rPr>
        <w:t>内容基本一致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lang w:val="en-US" w:eastAsia="zh-CN"/>
        </w:rPr>
        <w:t>没有发生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变动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24"/>
          <w:szCs w:val="24"/>
        </w:rPr>
        <w:t>三、环境保护设施建设情况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1.废水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项目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产生的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废水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包括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生产工艺废水、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脱盐水站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废水、循环水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场废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水、锅炉排污水、蒸汽凝液、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生活污水。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生活污水经化粪池预处理后，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 w:bidi="ar-SA"/>
        </w:rPr>
        <w:t>通过市政污水管网排入新河化工基地污水处理厂处理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产品罐区配套建设1个500立方米的废水储罐储存装置产生的工艺废水，工艺废水回用到原有工程硫酸钾生产装置的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氯化氢气体回收喷淋塔补水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使用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；脱盐水站废水经收集后进入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有生产污水收集池，收集的生产污水经微孔过滤后送至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原有工程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硫酸钾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生产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装置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氯化氢气体回收喷淋塔补水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使用；循环水场废水、锅炉排污水回用于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青岛碱业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钾肥科技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硫酸钾装置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氯化氢气体回收喷淋塔补水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使用；蒸汽凝液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回用于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脱盐水站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用水、循环水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补水，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不外排。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项目配套建设1座700立方米初期雨水池和1座2000立方米事故水池。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2.废气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排放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的废气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小苏打料仓和包装称工序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废气、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小苏打干燥尾气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小苏打成品仓和包装工序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废气、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氯化钙结晶工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序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废气、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生产装置工艺废气、产品灌装废气、产品装车废气、罐区呼吸废气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小苏打料仓和包装称工序产生的废气进入1套布袋除尘器处理，尾气通过原有1根20米高的排气筒DA001排放。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小苏打干燥尾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气一部分进入1套布袋除尘器处理，另一部分进入1套热碱液冷却塔喷淋处理，尾气合并后通过原有1根25米高的排气筒DA002排放。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小苏打成品仓和包装工序产生的废气进入1 套“旋风分离器+布袋除尘器”处理，尾气通过原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有1根25米高的排气筒DA003排放。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氯化钙结晶工序产生的废气进入原有1套氯化钙溶液喷淋塔处理，尾气通过原有1根30米高的排气筒DA005排放。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粗酯放空冷凝器不凝气、碳酸丙烯酯旋液分离罐废气、DMC尾凝器不凝气、醇水分离塔冷凝器不凝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气、1,2-丙二醇旋液分离罐废气、碳化冷凝器不凝气、滤渣干燥系统废气、灌装车间废气、装车废气、罐区呼吸废气经管道输送进入1套废气焚烧炉（直燃炉）焚烧处理，尾气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通过新建1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根25米高的排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气筒排放。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3.噪声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Cs/>
          <w:snapToGrid w:val="0"/>
          <w:sz w:val="24"/>
          <w:szCs w:val="24"/>
        </w:rPr>
        <w:t>产生的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噪声主要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>机泵、风机、空压机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等生产设备运行</w:t>
      </w:r>
      <w:r>
        <w:rPr>
          <w:rFonts w:hint="eastAsia" w:asciiTheme="minorEastAsia" w:hAnsiTheme="minorEastAsia" w:eastAsiaTheme="minorEastAsia" w:cstheme="minorEastAsia"/>
          <w:bCs/>
          <w:snapToGrid w:val="0"/>
          <w:sz w:val="24"/>
          <w:szCs w:val="24"/>
        </w:rPr>
        <w:t>时的机械噪声，企业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采取了减振、隔声等降噪措施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4.固体废物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产生的固体废物包括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>职工生活垃圾、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一般工业固体废物、危险废物。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>职工生活垃圾收集后暂存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于有盖垃圾箱，定期由环卫部门清运处理。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一般工业固体废物包括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脱盐水站产生的废滤料滤膜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空压制氮站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废分子筛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普通废包装材料等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，外售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综合利用。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危险废物包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>括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>PC催化剂计量罐残液、DMC提纯塔残液、PG（1,2-丙二醇）精制塔釜底残液、滤渣干燥系统产生的PG残液、催化剂废包装、装置废滤网废填料、废机油、废润滑油、二氧化碳精制装置废吸附剂、废变压器油、废油桶、危废库废气治理产生的废活性炭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暂存于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>原有1座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危险废物库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1座100立方米的危废残液罐、1座100立方米的 PG(1,2-丙二醇)残液罐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，委托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>具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有危险废物经营资质的单位进行处置。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24"/>
          <w:szCs w:val="24"/>
        </w:rPr>
        <w:t>四、验收监测结果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-12月20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Theme="minorEastAsia" w:hAnsiTheme="minorEastAsia" w:eastAsiaTheme="minorEastAsia" w:cstheme="minorEastAsia"/>
          <w:color w:val="000000"/>
          <w:kern w:val="2"/>
          <w:sz w:val="24"/>
          <w:szCs w:val="24"/>
          <w:lang w:val="en-US" w:eastAsia="zh-CN"/>
        </w:rPr>
        <w:t>山东省环玶监测有限公司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青岛碱业发展有限公司平度分公司碳中和技改项目-二氧化碳综合利用绿色生产碳酸二甲酯循环经济项目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进行竣工验收检测。验收检测期间，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eastAsia="zh-CN"/>
        </w:rPr>
        <w:t>青岛碱业发展有限公司平度分公司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 w:bidi="ar"/>
        </w:rPr>
        <w:t>碳中和技改项目-二氧化碳综合利用绿色生产碳酸二甲酯循环经济项目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生产工况稳定，环境保护设施运行正常，《检测报告》(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DHP24101413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)表明： </w:t>
      </w:r>
    </w:p>
    <w:p>
      <w:pPr>
        <w:pStyle w:val="4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7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废水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检测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期间，污水总排口废水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中的pH值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COD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cr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、BOD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悬浮物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浓度满足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污水综合排放标准》(GB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8978-1996)表4中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三级标准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限值要求；氨氮、总氮浓度满足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《污水排入城镇下水道水质标准》(GB/T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31962-2015)表1中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限值要求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废气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验收检测期间，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排气筒P1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DA026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废气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VOCs排放浓度及排放速率满足山东省《挥发性有机物排放标准 第6部分：有机化工行业》（DB37/ 2801.6-2018）表1中的“其他行业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（除上述行业外的有机化工行业）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”“Ⅱ时段”限值要求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甲醇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排放浓度满足山东省《挥发性有机物排放标准 第6部分：有机化工行业》（DB37/ 2801.6-2018）表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中的限值要求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甲醇排放速率满足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污染物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排放标准》（GB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16297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1996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限值要求；SO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、NO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、颗粒物排放浓度满足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《区域性大气污染物综合排放标准》（DB37/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2376- 2019）表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1中的“重点控制区”限值要求，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SO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、NO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、颗粒物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排放速率满足《大气污染物综合排放标准》（GB 16297-1996）表2中的“二级”限值要求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排气筒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DA005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废气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VOCs排放浓度及排放速率满足山东省《挥发性有机物排放标准 第6部分：有机化工行业》（DB37/ 2801.6-2018）表1中的“其他行业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（除上述行业外的有机化工行业）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”“Ⅱ时段”限值要求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甲醇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排放浓度满足山东省《挥发性有机物排放标准 第6部分：有机化工行业》（DB37/ 2801.6-2018）表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中的限值要求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甲醇排放速率满足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污染物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排放标准》（GB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16297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1996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限值要求；颗粒物排放浓度满足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《区域性大气污染物综合排放标准》（DB37/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2376- 2019）表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1中的“重点控制区”限值要求，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颗粒物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排放速率满足《大气污染物综合排放标准》（GB 16297-1996）表2中的“二级”限值要求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排气筒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DA001、DA002、DA003废气中的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颗粒物排放浓度满足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《区域性大气污染物综合排放标准》（DB37/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2376- 2019）表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1中的“重点控制区”限值要求，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颗粒物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排放速率满足《大气污染物综合排放标准》（GB 16297-1996）表2中的“二级”限值要求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厂界VOCs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浓度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满足山东省《挥发性有机物排放标准 第6部分：有机化工行业》（DB37/ 2801.6-2018）表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中的限值要求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厂界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甲醇、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颗粒物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浓度满足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污染物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排放标准》（GB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16297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1996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中的限值要求；厂区内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非甲烷总烃浓度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满足《挥发性有机物无组织排放控制标准》（GB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37822-2019）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表A.1中的“特别排放限值”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.噪声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验收检测期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间，厂界噪声检测值满足《工业企业厂界环境噪声排放标准》（GB 12348-2008）表1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中的“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类”限值要求。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总量控制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验收检测期间，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青岛碱业发展有限公司平度分公司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碳中和技改项目-二氧化碳综合利用绿色生产碳酸二甲酯循环经济项目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颗粒物、SO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、NO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、VOC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放量满足环评报告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核算和环评批复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的污染物总量控制指标要求。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color w:val="000000"/>
          <w:sz w:val="24"/>
          <w:szCs w:val="24"/>
        </w:rPr>
        <w:t>五、排污许可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青岛碱业发展有限公司平度分公司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重新申领了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排污许可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编号：91370283069083385N001V。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2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24"/>
          <w:szCs w:val="24"/>
        </w:rPr>
        <w:t>六、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000000"/>
          <w:sz w:val="24"/>
          <w:szCs w:val="24"/>
        </w:rPr>
        <w:t>工程建设对环境的影响</w:t>
      </w:r>
    </w:p>
    <w:p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竣工验收检测结果表明，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青岛碱业发展有限公司平度分公司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lang w:eastAsia="zh-CN"/>
        </w:rPr>
        <w:t>碳中和技改项目-二氧化碳综合利用绿色生产碳酸二甲酯循环经济项目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的废水、废气和噪声全部达标排放，固体废物去向明确，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运营对周边环境影响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>可控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napToGrid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color w:val="000000"/>
          <w:sz w:val="24"/>
          <w:szCs w:val="24"/>
        </w:rPr>
        <w:t>七、验收结论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验收检测期间，</w:t>
      </w: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青岛碱业发展有限公司平度分公司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lang w:eastAsia="zh-CN"/>
        </w:rPr>
        <w:t>碳中和技改项目-二氧化碳综合利用绿色生产碳酸二甲酯循环经济项目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</w:rPr>
        <w:t>无重大变动，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实施过程中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>基本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按照环评报告、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>环评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批复及有关要求落实了环境保护措施，建立了环境保护管理制度和环境风险防范措施，污染物排放满足国家相关标准，符合建设项目竣工环境保护验收条件。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青岛碱业发展有限公司平度分公司</w:t>
      </w:r>
      <w:r>
        <w:rPr>
          <w:rFonts w:hint="eastAsia" w:asciiTheme="minorEastAsia" w:hAnsiTheme="minorEastAsia" w:eastAsiaTheme="minorEastAsia" w:cstheme="minorEastAsia"/>
          <w:snapToGrid w:val="0"/>
          <w:sz w:val="24"/>
          <w:szCs w:val="24"/>
          <w:lang w:eastAsia="zh-CN"/>
        </w:rPr>
        <w:t>碳中和技改项目-二氧化碳综合利用绿色生产碳酸二甲酯循环经济项目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的《验收监测报告》结论可信，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竣工环境保护验收合格。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24"/>
          <w:szCs w:val="24"/>
        </w:rPr>
        <w:t>八、后续要求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1.根据《排污单位自行监测技术指南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总则》（HJ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819-2017）要求，制定监测计划并自主进行监测。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加强污染防治设施的运行、维护管理，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完善废气排放监测平台和监测口，确保污染物稳定达标排放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3.规范固体废物收集、暂存、转移、处置管理，落实《危险废物管理计划和管理台账制定技术导则》（HJ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1259-2022）有关要求。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4.强化突发环境事件应急培训和演练，增强应急处置能力。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napToGrid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855" w:firstLineChars="1600"/>
        <w:rPr>
          <w:rFonts w:hint="eastAsia" w:asciiTheme="minorEastAsia" w:hAnsiTheme="minorEastAsia" w:eastAsiaTheme="minorEastAsia" w:cstheme="minorEastAsia"/>
          <w:b/>
          <w:snapToGrid w:val="0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color w:val="000000"/>
          <w:sz w:val="24"/>
          <w:szCs w:val="24"/>
          <w:lang w:eastAsia="zh-CN"/>
        </w:rPr>
        <w:t>青岛碱业发展有限公司平度分公司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2000"/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4"/>
          <w:szCs w:val="24"/>
        </w:rPr>
        <w:t>日</w:t>
      </w:r>
    </w:p>
    <w:p>
      <w:pPr>
        <w:rPr>
          <w:rFonts w:cs="Times New Roman" w:asciiTheme="minorEastAsia" w:hAnsiTheme="minorEastAsia" w:eastAsiaTheme="minorEastAsia"/>
          <w:b/>
          <w:sz w:val="32"/>
          <w:szCs w:val="32"/>
        </w:rPr>
      </w:pPr>
      <w:r>
        <w:rPr>
          <w:rFonts w:cs="Times New Roman" w:asciiTheme="minorEastAsia" w:hAnsiTheme="minorEastAsia" w:eastAsiaTheme="minorEastAsia"/>
          <w:b/>
          <w:sz w:val="32"/>
          <w:szCs w:val="32"/>
        </w:rPr>
        <w:br w:type="page"/>
      </w:r>
    </w:p>
    <w:p>
      <w:pPr>
        <w:pStyle w:val="23"/>
        <w:adjustRightInd w:val="0"/>
        <w:snapToGrid w:val="0"/>
        <w:spacing w:beforeAutospacing="0" w:afterAutospacing="0" w:line="360" w:lineRule="auto"/>
        <w:jc w:val="both"/>
        <w:outlineLvl w:val="0"/>
        <w:rPr>
          <w:rFonts w:cs="Times New Roman" w:asciiTheme="minorEastAsia" w:hAnsiTheme="minorEastAsia" w:eastAsiaTheme="minorEastAsia"/>
          <w:b/>
          <w:sz w:val="32"/>
          <w:szCs w:val="32"/>
        </w:rPr>
      </w:pPr>
    </w:p>
    <w:p>
      <w:pPr>
        <w:rPr>
          <w:rFonts w:cs="Times New Roman" w:asciiTheme="minorEastAsia" w:hAnsiTheme="minorEastAsia" w:eastAsiaTheme="minorEastAsia"/>
          <w:b/>
          <w:sz w:val="32"/>
          <w:szCs w:val="32"/>
        </w:rPr>
      </w:pPr>
    </w:p>
    <w:p>
      <w:pPr>
        <w:rPr>
          <w:rFonts w:cs="Times New Roman" w:asciiTheme="minorEastAsia" w:hAnsiTheme="minorEastAsia" w:eastAsiaTheme="minorEastAsia"/>
          <w:b/>
          <w:sz w:val="32"/>
          <w:szCs w:val="32"/>
        </w:rPr>
      </w:pPr>
      <w:r>
        <w:rPr>
          <w:rFonts w:cs="Times New Roman" w:asciiTheme="minorEastAsia" w:hAnsiTheme="minorEastAsia" w:eastAsiaTheme="minorEastAsia"/>
          <w:b/>
          <w:sz w:val="32"/>
          <w:szCs w:val="32"/>
        </w:rPr>
        <w:t>附件：</w:t>
      </w:r>
      <w:bookmarkStart w:id="1" w:name="_Hlk46584381"/>
    </w:p>
    <w:bookmarkEnd w:id="1"/>
    <w:p>
      <w:pPr>
        <w:pStyle w:val="23"/>
        <w:adjustRightInd w:val="0"/>
        <w:snapToGrid w:val="0"/>
        <w:spacing w:beforeAutospacing="0" w:afterAutospacing="0" w:line="300" w:lineRule="auto"/>
        <w:jc w:val="center"/>
        <w:outlineLvl w:val="0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  <w:t>青岛碱业发展有限公司平度分公司</w:t>
      </w:r>
    </w:p>
    <w:p>
      <w:pPr>
        <w:pStyle w:val="23"/>
        <w:adjustRightInd w:val="0"/>
        <w:snapToGrid w:val="0"/>
        <w:spacing w:beforeAutospacing="0" w:afterAutospacing="0" w:line="300" w:lineRule="auto"/>
        <w:jc w:val="center"/>
        <w:outlineLvl w:val="0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  <w:t>碳中和技改项目-二氧化碳综合利用</w:t>
      </w:r>
    </w:p>
    <w:p>
      <w:pPr>
        <w:pStyle w:val="23"/>
        <w:adjustRightInd w:val="0"/>
        <w:snapToGrid w:val="0"/>
        <w:spacing w:beforeAutospacing="0" w:afterAutospacing="0" w:line="300" w:lineRule="auto"/>
        <w:jc w:val="center"/>
        <w:outlineLvl w:val="0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  <w:t>绿色生产碳酸二甲酯循环经济项目</w:t>
      </w:r>
    </w:p>
    <w:p>
      <w:pPr>
        <w:pStyle w:val="23"/>
        <w:adjustRightInd w:val="0"/>
        <w:snapToGrid w:val="0"/>
        <w:spacing w:beforeAutospacing="0" w:afterAutospacing="0" w:line="300" w:lineRule="auto"/>
        <w:jc w:val="center"/>
        <w:outlineLvl w:val="0"/>
        <w:rPr>
          <w:rFonts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竣工环境保护验收人员名单</w:t>
      </w:r>
    </w:p>
    <w:p>
      <w:pPr>
        <w:pStyle w:val="23"/>
        <w:adjustRightInd w:val="0"/>
        <w:snapToGrid w:val="0"/>
        <w:spacing w:beforeAutospacing="0" w:afterAutospacing="0" w:line="300" w:lineRule="auto"/>
        <w:jc w:val="center"/>
        <w:outlineLvl w:val="0"/>
        <w:rPr>
          <w:rFonts w:ascii="Times New Roman" w:hAnsi="Times New Roman" w:cs="Times New Roman" w:eastAsiaTheme="minorEastAsia"/>
          <w:b/>
          <w:sz w:val="32"/>
          <w:szCs w:val="32"/>
        </w:rPr>
      </w:pP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979"/>
        <w:gridCol w:w="1409"/>
        <w:gridCol w:w="1122"/>
        <w:gridCol w:w="2313"/>
        <w:gridCol w:w="127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10" w:hRule="atLeast"/>
          <w:jc w:val="center"/>
        </w:trPr>
        <w:tc>
          <w:tcPr>
            <w:tcW w:w="1334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szCs w:val="24"/>
              </w:rPr>
              <w:t>验收组</w:t>
            </w:r>
          </w:p>
        </w:tc>
        <w:tc>
          <w:tcPr>
            <w:tcW w:w="6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>姓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 xml:space="preserve"> 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 xml:space="preserve"> 名</w:t>
            </w:r>
          </w:p>
        </w:tc>
        <w:tc>
          <w:tcPr>
            <w:tcW w:w="1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>单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 xml:space="preserve"> 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 xml:space="preserve"> 位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>职务/职称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>签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 xml:space="preserve"> 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 xml:space="preserve">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69" w:hRule="atLeast"/>
          <w:jc w:val="center"/>
        </w:trPr>
        <w:tc>
          <w:tcPr>
            <w:tcW w:w="5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>组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 xml:space="preserve"> 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  <w:t xml:space="preserve"> 长</w:t>
            </w:r>
          </w:p>
        </w:tc>
        <w:tc>
          <w:tcPr>
            <w:tcW w:w="787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建设单位暨验收监测报告编制单位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卢伟成</w:t>
            </w:r>
          </w:p>
        </w:tc>
        <w:tc>
          <w:tcPr>
            <w:tcW w:w="1292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青岛碱业发展有限公司平度分公司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环安部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69" w:hRule="atLeast"/>
          <w:jc w:val="center"/>
        </w:trPr>
        <w:tc>
          <w:tcPr>
            <w:tcW w:w="547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napToGrid w:val="0"/>
                <w:sz w:val="24"/>
                <w:szCs w:val="24"/>
                <w:lang w:bidi="he-IL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szCs w:val="24"/>
              </w:rPr>
              <w:t xml:space="preserve"> 员</w:t>
            </w:r>
          </w:p>
        </w:tc>
        <w:tc>
          <w:tcPr>
            <w:tcW w:w="78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杨少旭</w:t>
            </w:r>
          </w:p>
        </w:tc>
        <w:tc>
          <w:tcPr>
            <w:tcW w:w="1292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环保员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94" w:hRule="atLeast"/>
          <w:jc w:val="center"/>
        </w:trPr>
        <w:tc>
          <w:tcPr>
            <w:tcW w:w="5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87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山东省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环评</w:t>
            </w: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专家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王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 xml:space="preserve"> 犇</w:t>
            </w:r>
          </w:p>
        </w:tc>
        <w:tc>
          <w:tcPr>
            <w:tcW w:w="1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青岛科技大学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教  授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69" w:hRule="atLeast"/>
          <w:jc w:val="center"/>
        </w:trPr>
        <w:tc>
          <w:tcPr>
            <w:tcW w:w="54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7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高四明</w:t>
            </w:r>
          </w:p>
        </w:tc>
        <w:tc>
          <w:tcPr>
            <w:tcW w:w="1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中国石化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青岛石化公司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>高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  <w:t xml:space="preserve"> 工</w:t>
            </w:r>
          </w:p>
        </w:tc>
        <w:tc>
          <w:tcPr>
            <w:tcW w:w="10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380" w:lineRule="exact"/>
        <w:jc w:val="right"/>
        <w:rPr>
          <w:rFonts w:ascii="Times New Roman" w:hAnsi="Times New Roman" w:cs="Times New Roman" w:eastAsiaTheme="minorEastAsia"/>
          <w:sz w:val="28"/>
          <w:szCs w:val="28"/>
        </w:rPr>
      </w:pPr>
    </w:p>
    <w:p>
      <w:pPr>
        <w:spacing w:line="380" w:lineRule="exact"/>
        <w:ind w:right="840"/>
        <w:jc w:val="center"/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snapToGrid w:val="0"/>
          <w:color w:val="auto"/>
          <w:sz w:val="28"/>
          <w:szCs w:val="28"/>
        </w:rPr>
        <w:t>日</w:t>
      </w:r>
    </w:p>
    <w:p>
      <w:pPr>
        <w:jc w:val="both"/>
        <w:rPr>
          <w:rFonts w:ascii="宋体" w:hAnsi="宋体" w:eastAsia="宋体" w:cs="Times New Roman"/>
        </w:rPr>
      </w:pPr>
    </w:p>
    <w:sectPr>
      <w:footerReference r:id="rId3" w:type="default"/>
      <w:pgSz w:w="11906" w:h="16838"/>
      <w:pgMar w:top="1701" w:right="1474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E8C59"/>
    <w:multiLevelType w:val="singleLevel"/>
    <w:tmpl w:val="667E8C59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10"/>
    <w:rsid w:val="00001358"/>
    <w:rsid w:val="00004F27"/>
    <w:rsid w:val="00032E39"/>
    <w:rsid w:val="00033EAB"/>
    <w:rsid w:val="00035700"/>
    <w:rsid w:val="00060863"/>
    <w:rsid w:val="000631F1"/>
    <w:rsid w:val="000642F3"/>
    <w:rsid w:val="000733BE"/>
    <w:rsid w:val="00083326"/>
    <w:rsid w:val="000A0B62"/>
    <w:rsid w:val="000A2D7B"/>
    <w:rsid w:val="000A4124"/>
    <w:rsid w:val="000A7665"/>
    <w:rsid w:val="000B014C"/>
    <w:rsid w:val="000B64DA"/>
    <w:rsid w:val="000C0339"/>
    <w:rsid w:val="000D59D6"/>
    <w:rsid w:val="000D5E0A"/>
    <w:rsid w:val="000E7857"/>
    <w:rsid w:val="00111D2E"/>
    <w:rsid w:val="00116C2D"/>
    <w:rsid w:val="001174FC"/>
    <w:rsid w:val="00130EBF"/>
    <w:rsid w:val="00131878"/>
    <w:rsid w:val="001372AE"/>
    <w:rsid w:val="00160CA9"/>
    <w:rsid w:val="00182C5E"/>
    <w:rsid w:val="00190283"/>
    <w:rsid w:val="0019185E"/>
    <w:rsid w:val="0019686F"/>
    <w:rsid w:val="001A409F"/>
    <w:rsid w:val="001A41F1"/>
    <w:rsid w:val="001A68D2"/>
    <w:rsid w:val="001B35A5"/>
    <w:rsid w:val="001C6AFA"/>
    <w:rsid w:val="001D0A97"/>
    <w:rsid w:val="001D1E0B"/>
    <w:rsid w:val="001D4F57"/>
    <w:rsid w:val="001D51FC"/>
    <w:rsid w:val="001E0A6A"/>
    <w:rsid w:val="001E32E8"/>
    <w:rsid w:val="00200DC7"/>
    <w:rsid w:val="002026A2"/>
    <w:rsid w:val="002029E7"/>
    <w:rsid w:val="0020667B"/>
    <w:rsid w:val="002104EA"/>
    <w:rsid w:val="00220E1E"/>
    <w:rsid w:val="00233DED"/>
    <w:rsid w:val="00244903"/>
    <w:rsid w:val="002541C1"/>
    <w:rsid w:val="00256DC0"/>
    <w:rsid w:val="00260D34"/>
    <w:rsid w:val="0026174F"/>
    <w:rsid w:val="00262A2C"/>
    <w:rsid w:val="0027419D"/>
    <w:rsid w:val="002752AE"/>
    <w:rsid w:val="00275E39"/>
    <w:rsid w:val="002764EF"/>
    <w:rsid w:val="002A141D"/>
    <w:rsid w:val="002B31F7"/>
    <w:rsid w:val="002B7EB3"/>
    <w:rsid w:val="002C3AB9"/>
    <w:rsid w:val="002C5B24"/>
    <w:rsid w:val="002C62E7"/>
    <w:rsid w:val="002C70FD"/>
    <w:rsid w:val="002E7087"/>
    <w:rsid w:val="002F2E7C"/>
    <w:rsid w:val="003001CC"/>
    <w:rsid w:val="003101EA"/>
    <w:rsid w:val="003152A0"/>
    <w:rsid w:val="00320FE1"/>
    <w:rsid w:val="003240EC"/>
    <w:rsid w:val="00326528"/>
    <w:rsid w:val="00327CB4"/>
    <w:rsid w:val="0033430A"/>
    <w:rsid w:val="00337163"/>
    <w:rsid w:val="003435A8"/>
    <w:rsid w:val="00353510"/>
    <w:rsid w:val="00354288"/>
    <w:rsid w:val="0035556A"/>
    <w:rsid w:val="00361BAB"/>
    <w:rsid w:val="003641DD"/>
    <w:rsid w:val="00374551"/>
    <w:rsid w:val="003828CF"/>
    <w:rsid w:val="003856DC"/>
    <w:rsid w:val="003954EF"/>
    <w:rsid w:val="0039791C"/>
    <w:rsid w:val="003A276A"/>
    <w:rsid w:val="003A2A09"/>
    <w:rsid w:val="003A3BC0"/>
    <w:rsid w:val="003A70F5"/>
    <w:rsid w:val="003C2B7C"/>
    <w:rsid w:val="003C5564"/>
    <w:rsid w:val="003C5ADB"/>
    <w:rsid w:val="003C61F0"/>
    <w:rsid w:val="003D3CF7"/>
    <w:rsid w:val="003D6B30"/>
    <w:rsid w:val="003F5D3A"/>
    <w:rsid w:val="0040672B"/>
    <w:rsid w:val="00416A91"/>
    <w:rsid w:val="00417B60"/>
    <w:rsid w:val="00424569"/>
    <w:rsid w:val="0042545B"/>
    <w:rsid w:val="00426563"/>
    <w:rsid w:val="00433A11"/>
    <w:rsid w:val="00435EFF"/>
    <w:rsid w:val="00453DCF"/>
    <w:rsid w:val="00463A26"/>
    <w:rsid w:val="004647EA"/>
    <w:rsid w:val="004716A2"/>
    <w:rsid w:val="00494935"/>
    <w:rsid w:val="0049517B"/>
    <w:rsid w:val="00495708"/>
    <w:rsid w:val="004A431C"/>
    <w:rsid w:val="004B5ECF"/>
    <w:rsid w:val="004D7F9E"/>
    <w:rsid w:val="004E718A"/>
    <w:rsid w:val="004F4CFB"/>
    <w:rsid w:val="004F7E95"/>
    <w:rsid w:val="005102E6"/>
    <w:rsid w:val="00530CEE"/>
    <w:rsid w:val="00537707"/>
    <w:rsid w:val="00537C41"/>
    <w:rsid w:val="005429FD"/>
    <w:rsid w:val="00554D61"/>
    <w:rsid w:val="00557265"/>
    <w:rsid w:val="00560F19"/>
    <w:rsid w:val="00570E7D"/>
    <w:rsid w:val="00575317"/>
    <w:rsid w:val="005809BA"/>
    <w:rsid w:val="00590764"/>
    <w:rsid w:val="00592BC0"/>
    <w:rsid w:val="005B3A14"/>
    <w:rsid w:val="005C1055"/>
    <w:rsid w:val="005D116C"/>
    <w:rsid w:val="005E00BD"/>
    <w:rsid w:val="005E3753"/>
    <w:rsid w:val="005F0321"/>
    <w:rsid w:val="005F0B39"/>
    <w:rsid w:val="005F37D0"/>
    <w:rsid w:val="00600A2C"/>
    <w:rsid w:val="00604ED3"/>
    <w:rsid w:val="00605BFE"/>
    <w:rsid w:val="00606813"/>
    <w:rsid w:val="00616463"/>
    <w:rsid w:val="00620B15"/>
    <w:rsid w:val="00621322"/>
    <w:rsid w:val="00642F26"/>
    <w:rsid w:val="00643056"/>
    <w:rsid w:val="0064445C"/>
    <w:rsid w:val="006460C9"/>
    <w:rsid w:val="0069563B"/>
    <w:rsid w:val="00695C07"/>
    <w:rsid w:val="006A7ED4"/>
    <w:rsid w:val="006B09C1"/>
    <w:rsid w:val="006B3853"/>
    <w:rsid w:val="006B6C05"/>
    <w:rsid w:val="006C7E0A"/>
    <w:rsid w:val="006E0135"/>
    <w:rsid w:val="00710DC7"/>
    <w:rsid w:val="00713111"/>
    <w:rsid w:val="00715004"/>
    <w:rsid w:val="00721476"/>
    <w:rsid w:val="007346E7"/>
    <w:rsid w:val="0075287A"/>
    <w:rsid w:val="00754108"/>
    <w:rsid w:val="00765F1D"/>
    <w:rsid w:val="00777A7F"/>
    <w:rsid w:val="00783743"/>
    <w:rsid w:val="00785422"/>
    <w:rsid w:val="00785E2A"/>
    <w:rsid w:val="00791967"/>
    <w:rsid w:val="00792B8F"/>
    <w:rsid w:val="007966B2"/>
    <w:rsid w:val="007B332C"/>
    <w:rsid w:val="007B4608"/>
    <w:rsid w:val="007B6F97"/>
    <w:rsid w:val="007D0B28"/>
    <w:rsid w:val="007D23A4"/>
    <w:rsid w:val="007D68EE"/>
    <w:rsid w:val="007E6DA9"/>
    <w:rsid w:val="007F0BA8"/>
    <w:rsid w:val="007F33DB"/>
    <w:rsid w:val="007F4FA1"/>
    <w:rsid w:val="008377A5"/>
    <w:rsid w:val="0083796D"/>
    <w:rsid w:val="008415ED"/>
    <w:rsid w:val="00842E7E"/>
    <w:rsid w:val="00842F4C"/>
    <w:rsid w:val="00843FAD"/>
    <w:rsid w:val="008447AA"/>
    <w:rsid w:val="00856C3C"/>
    <w:rsid w:val="00860102"/>
    <w:rsid w:val="00880F4B"/>
    <w:rsid w:val="0088113D"/>
    <w:rsid w:val="00885371"/>
    <w:rsid w:val="00887B07"/>
    <w:rsid w:val="0089081D"/>
    <w:rsid w:val="00897F12"/>
    <w:rsid w:val="008A730F"/>
    <w:rsid w:val="008B254E"/>
    <w:rsid w:val="008C3F6C"/>
    <w:rsid w:val="008F5055"/>
    <w:rsid w:val="009011EF"/>
    <w:rsid w:val="00907B2E"/>
    <w:rsid w:val="009122DC"/>
    <w:rsid w:val="00917847"/>
    <w:rsid w:val="009244BB"/>
    <w:rsid w:val="0093412E"/>
    <w:rsid w:val="00942F80"/>
    <w:rsid w:val="0094515F"/>
    <w:rsid w:val="00957760"/>
    <w:rsid w:val="00957D13"/>
    <w:rsid w:val="009614EC"/>
    <w:rsid w:val="00961FB4"/>
    <w:rsid w:val="00967779"/>
    <w:rsid w:val="00967A7E"/>
    <w:rsid w:val="00974FFF"/>
    <w:rsid w:val="0097745D"/>
    <w:rsid w:val="00991A15"/>
    <w:rsid w:val="00997BCD"/>
    <w:rsid w:val="009A1AE0"/>
    <w:rsid w:val="009A2A24"/>
    <w:rsid w:val="009A4198"/>
    <w:rsid w:val="009A69AC"/>
    <w:rsid w:val="009A6E7A"/>
    <w:rsid w:val="009C65CD"/>
    <w:rsid w:val="009C7798"/>
    <w:rsid w:val="009D0438"/>
    <w:rsid w:val="009D081B"/>
    <w:rsid w:val="009E70A5"/>
    <w:rsid w:val="009F29CC"/>
    <w:rsid w:val="009F4A27"/>
    <w:rsid w:val="009F6486"/>
    <w:rsid w:val="00A10A4E"/>
    <w:rsid w:val="00A136F6"/>
    <w:rsid w:val="00A143BB"/>
    <w:rsid w:val="00A80020"/>
    <w:rsid w:val="00A80A84"/>
    <w:rsid w:val="00A91291"/>
    <w:rsid w:val="00A92B51"/>
    <w:rsid w:val="00A97571"/>
    <w:rsid w:val="00AA13C9"/>
    <w:rsid w:val="00AB00E5"/>
    <w:rsid w:val="00AB5D6A"/>
    <w:rsid w:val="00AC2BDB"/>
    <w:rsid w:val="00AF461C"/>
    <w:rsid w:val="00B30E62"/>
    <w:rsid w:val="00B34D54"/>
    <w:rsid w:val="00B50682"/>
    <w:rsid w:val="00B57118"/>
    <w:rsid w:val="00B6266B"/>
    <w:rsid w:val="00B7145C"/>
    <w:rsid w:val="00B74768"/>
    <w:rsid w:val="00B7506A"/>
    <w:rsid w:val="00B945C3"/>
    <w:rsid w:val="00B97FC6"/>
    <w:rsid w:val="00BA1BDC"/>
    <w:rsid w:val="00BA29DD"/>
    <w:rsid w:val="00BA34CC"/>
    <w:rsid w:val="00BA5D19"/>
    <w:rsid w:val="00BB35BE"/>
    <w:rsid w:val="00BB3AA2"/>
    <w:rsid w:val="00BB7036"/>
    <w:rsid w:val="00BC467B"/>
    <w:rsid w:val="00BD3C59"/>
    <w:rsid w:val="00BE1880"/>
    <w:rsid w:val="00BE1FE5"/>
    <w:rsid w:val="00BF3B85"/>
    <w:rsid w:val="00C001EC"/>
    <w:rsid w:val="00C02ABB"/>
    <w:rsid w:val="00C17083"/>
    <w:rsid w:val="00C210D7"/>
    <w:rsid w:val="00C2770A"/>
    <w:rsid w:val="00C42D0A"/>
    <w:rsid w:val="00C464BC"/>
    <w:rsid w:val="00C50B62"/>
    <w:rsid w:val="00C63588"/>
    <w:rsid w:val="00C72B83"/>
    <w:rsid w:val="00C80968"/>
    <w:rsid w:val="00C83345"/>
    <w:rsid w:val="00C8714E"/>
    <w:rsid w:val="00C87728"/>
    <w:rsid w:val="00CA507B"/>
    <w:rsid w:val="00CA6658"/>
    <w:rsid w:val="00CB25E8"/>
    <w:rsid w:val="00CC04D1"/>
    <w:rsid w:val="00CC4E59"/>
    <w:rsid w:val="00CD461A"/>
    <w:rsid w:val="00CE133A"/>
    <w:rsid w:val="00CE4642"/>
    <w:rsid w:val="00CE4B79"/>
    <w:rsid w:val="00CF4CB4"/>
    <w:rsid w:val="00CF64C7"/>
    <w:rsid w:val="00D00432"/>
    <w:rsid w:val="00D01BED"/>
    <w:rsid w:val="00D03D07"/>
    <w:rsid w:val="00D07B4F"/>
    <w:rsid w:val="00D11A49"/>
    <w:rsid w:val="00D17CEB"/>
    <w:rsid w:val="00D21C49"/>
    <w:rsid w:val="00D3340F"/>
    <w:rsid w:val="00D3473F"/>
    <w:rsid w:val="00D40FD6"/>
    <w:rsid w:val="00D41FE8"/>
    <w:rsid w:val="00D451C7"/>
    <w:rsid w:val="00D660C3"/>
    <w:rsid w:val="00D66378"/>
    <w:rsid w:val="00D74769"/>
    <w:rsid w:val="00D841B2"/>
    <w:rsid w:val="00D87B0D"/>
    <w:rsid w:val="00DA7A67"/>
    <w:rsid w:val="00DC0DE7"/>
    <w:rsid w:val="00DC7E4F"/>
    <w:rsid w:val="00DC7F7F"/>
    <w:rsid w:val="00DD58DC"/>
    <w:rsid w:val="00DE79A5"/>
    <w:rsid w:val="00DF2CE4"/>
    <w:rsid w:val="00DF4009"/>
    <w:rsid w:val="00DF4845"/>
    <w:rsid w:val="00E16949"/>
    <w:rsid w:val="00E25796"/>
    <w:rsid w:val="00E26B43"/>
    <w:rsid w:val="00E37D3A"/>
    <w:rsid w:val="00E42342"/>
    <w:rsid w:val="00E43626"/>
    <w:rsid w:val="00E461F8"/>
    <w:rsid w:val="00E57E22"/>
    <w:rsid w:val="00E63B7B"/>
    <w:rsid w:val="00E63EAD"/>
    <w:rsid w:val="00E70725"/>
    <w:rsid w:val="00E750A7"/>
    <w:rsid w:val="00E838B6"/>
    <w:rsid w:val="00EA587D"/>
    <w:rsid w:val="00EB7983"/>
    <w:rsid w:val="00EC5953"/>
    <w:rsid w:val="00EC7C36"/>
    <w:rsid w:val="00ED2533"/>
    <w:rsid w:val="00EE0149"/>
    <w:rsid w:val="00EE3871"/>
    <w:rsid w:val="00EE5E02"/>
    <w:rsid w:val="00F052C8"/>
    <w:rsid w:val="00F1316C"/>
    <w:rsid w:val="00F20B4A"/>
    <w:rsid w:val="00F30E9E"/>
    <w:rsid w:val="00F43121"/>
    <w:rsid w:val="00F5313C"/>
    <w:rsid w:val="00F62269"/>
    <w:rsid w:val="00F66E9F"/>
    <w:rsid w:val="00F70372"/>
    <w:rsid w:val="00F761F5"/>
    <w:rsid w:val="00F81627"/>
    <w:rsid w:val="00F91B4A"/>
    <w:rsid w:val="00F94619"/>
    <w:rsid w:val="00FB4F36"/>
    <w:rsid w:val="00FD4393"/>
    <w:rsid w:val="00FE589A"/>
    <w:rsid w:val="00FF15C4"/>
    <w:rsid w:val="00FF6BCD"/>
    <w:rsid w:val="0862073A"/>
    <w:rsid w:val="0BE37895"/>
    <w:rsid w:val="0EB37EE2"/>
    <w:rsid w:val="103F0F8B"/>
    <w:rsid w:val="11B84FF4"/>
    <w:rsid w:val="127F0E16"/>
    <w:rsid w:val="14CB2FEE"/>
    <w:rsid w:val="16725A53"/>
    <w:rsid w:val="168A23B6"/>
    <w:rsid w:val="18695E1E"/>
    <w:rsid w:val="18EB223F"/>
    <w:rsid w:val="18EE2DF4"/>
    <w:rsid w:val="18EF1EE5"/>
    <w:rsid w:val="1C925E48"/>
    <w:rsid w:val="1D9534FD"/>
    <w:rsid w:val="1DF06B89"/>
    <w:rsid w:val="1F607B8A"/>
    <w:rsid w:val="1FA336A3"/>
    <w:rsid w:val="200753DA"/>
    <w:rsid w:val="206A6E8B"/>
    <w:rsid w:val="21E53BD1"/>
    <w:rsid w:val="23BC36C8"/>
    <w:rsid w:val="25462444"/>
    <w:rsid w:val="269F0C8A"/>
    <w:rsid w:val="26CE3269"/>
    <w:rsid w:val="273A0638"/>
    <w:rsid w:val="273E22EF"/>
    <w:rsid w:val="27943A0D"/>
    <w:rsid w:val="285F1464"/>
    <w:rsid w:val="286C74DE"/>
    <w:rsid w:val="2B3136D6"/>
    <w:rsid w:val="2B3442F5"/>
    <w:rsid w:val="2B551155"/>
    <w:rsid w:val="2BF415E3"/>
    <w:rsid w:val="2DAA02B4"/>
    <w:rsid w:val="2E621D1C"/>
    <w:rsid w:val="3039422C"/>
    <w:rsid w:val="30792977"/>
    <w:rsid w:val="31AE52E1"/>
    <w:rsid w:val="33967558"/>
    <w:rsid w:val="34A728AD"/>
    <w:rsid w:val="35703071"/>
    <w:rsid w:val="37B82CC9"/>
    <w:rsid w:val="37BE72CA"/>
    <w:rsid w:val="397D5ABD"/>
    <w:rsid w:val="3AA34569"/>
    <w:rsid w:val="3ADD0FEF"/>
    <w:rsid w:val="3C460185"/>
    <w:rsid w:val="3C810557"/>
    <w:rsid w:val="3CA95E87"/>
    <w:rsid w:val="3D3F19E9"/>
    <w:rsid w:val="3F2B7016"/>
    <w:rsid w:val="41F411C5"/>
    <w:rsid w:val="42227AF1"/>
    <w:rsid w:val="423E74F1"/>
    <w:rsid w:val="426F2CD7"/>
    <w:rsid w:val="4433435F"/>
    <w:rsid w:val="4A9401EE"/>
    <w:rsid w:val="4D68681D"/>
    <w:rsid w:val="51CB0F54"/>
    <w:rsid w:val="53944263"/>
    <w:rsid w:val="56C86370"/>
    <w:rsid w:val="57403B32"/>
    <w:rsid w:val="57E03E54"/>
    <w:rsid w:val="59353291"/>
    <w:rsid w:val="59604058"/>
    <w:rsid w:val="5A1A647C"/>
    <w:rsid w:val="5A561DC4"/>
    <w:rsid w:val="5F0055B2"/>
    <w:rsid w:val="601D05BB"/>
    <w:rsid w:val="60ED6E8E"/>
    <w:rsid w:val="625850C9"/>
    <w:rsid w:val="637D5D25"/>
    <w:rsid w:val="64F8250B"/>
    <w:rsid w:val="66B40F75"/>
    <w:rsid w:val="66FA6F44"/>
    <w:rsid w:val="68522A3E"/>
    <w:rsid w:val="6BDD4DCD"/>
    <w:rsid w:val="6CB76170"/>
    <w:rsid w:val="6D2811B4"/>
    <w:rsid w:val="6D3A6542"/>
    <w:rsid w:val="6D705713"/>
    <w:rsid w:val="6EF357C1"/>
    <w:rsid w:val="6F695581"/>
    <w:rsid w:val="6FF340CD"/>
    <w:rsid w:val="714301C7"/>
    <w:rsid w:val="7234660E"/>
    <w:rsid w:val="72474F8F"/>
    <w:rsid w:val="729F0A34"/>
    <w:rsid w:val="738E66E0"/>
    <w:rsid w:val="778031BB"/>
    <w:rsid w:val="7B8946AF"/>
    <w:rsid w:val="7E0F44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widowControl w:val="0"/>
      <w:spacing w:line="360" w:lineRule="atLeast"/>
      <w:jc w:val="center"/>
      <w:outlineLvl w:val="1"/>
    </w:pPr>
    <w:rPr>
      <w:rFonts w:ascii="宋体" w:hAnsi="宋体"/>
      <w:kern w:val="2"/>
      <w:sz w:val="28"/>
      <w:szCs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76" w:lineRule="auto"/>
      <w:ind w:firstLine="420" w:firstLineChars="100"/>
    </w:pPr>
    <w:rPr>
      <w:rFonts w:ascii="Times New Roman" w:hAnsi="Times New Roman" w:eastAsia="宋体" w:cs="Times New Roman"/>
      <w:sz w:val="21"/>
    </w:r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kern w:val="2"/>
      <w:sz w:val="18"/>
      <w:szCs w:val="24"/>
    </w:rPr>
  </w:style>
  <w:style w:type="paragraph" w:styleId="4">
    <w:name w:val="List Bullet 5"/>
    <w:basedOn w:val="1"/>
    <w:semiHidden/>
    <w:unhideWhenUsed/>
    <w:uiPriority w:val="0"/>
    <w:pPr>
      <w:numPr>
        <w:ilvl w:val="0"/>
        <w:numId w:val="1"/>
      </w:numPr>
    </w:pPr>
  </w:style>
  <w:style w:type="paragraph" w:styleId="7">
    <w:name w:val="Normal Indent"/>
    <w:basedOn w:val="1"/>
    <w:semiHidden/>
    <w:unhideWhenUsed/>
    <w:qFormat/>
    <w:uiPriority w:val="0"/>
    <w:pPr>
      <w:ind w:firstLine="420" w:firstLineChars="200"/>
    </w:pPr>
  </w:style>
  <w:style w:type="paragraph" w:styleId="8">
    <w:name w:val="annotation text"/>
    <w:basedOn w:val="1"/>
    <w:link w:val="36"/>
    <w:semiHidden/>
    <w:unhideWhenUsed/>
    <w:qFormat/>
    <w:uiPriority w:val="0"/>
  </w:style>
  <w:style w:type="paragraph" w:styleId="9">
    <w:name w:val="Body Text Indent"/>
    <w:basedOn w:val="1"/>
    <w:qFormat/>
    <w:uiPriority w:val="0"/>
    <w:pPr>
      <w:widowControl w:val="0"/>
      <w:ind w:firstLine="180" w:firstLineChars="187"/>
      <w:jc w:val="both"/>
    </w:pPr>
    <w:rPr>
      <w:sz w:val="21"/>
      <w:szCs w:val="24"/>
    </w:rPr>
  </w:style>
  <w:style w:type="paragraph" w:styleId="10">
    <w:name w:val="Plain Text"/>
    <w:basedOn w:val="1"/>
    <w:link w:val="34"/>
    <w:qFormat/>
    <w:uiPriority w:val="0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paragraph" w:styleId="11">
    <w:name w:val="Date"/>
    <w:basedOn w:val="1"/>
    <w:next w:val="1"/>
    <w:qFormat/>
    <w:uiPriority w:val="0"/>
    <w:pPr>
      <w:widowControl w:val="0"/>
      <w:jc w:val="both"/>
    </w:pPr>
    <w:rPr>
      <w:kern w:val="2"/>
      <w:sz w:val="30"/>
      <w:szCs w:val="20"/>
    </w:rPr>
  </w:style>
  <w:style w:type="paragraph" w:styleId="12">
    <w:name w:val="Balloon Text"/>
    <w:basedOn w:val="1"/>
    <w:link w:val="38"/>
    <w:qFormat/>
    <w:uiPriority w:val="0"/>
    <w:rPr>
      <w:sz w:val="18"/>
      <w:szCs w:val="18"/>
    </w:rPr>
  </w:style>
  <w:style w:type="paragraph" w:styleId="13">
    <w:name w:val="footer"/>
    <w:basedOn w:val="1"/>
    <w:link w:val="2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header"/>
    <w:basedOn w:val="1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jc w:val="center"/>
    </w:pPr>
    <w:rPr>
      <w:kern w:val="2"/>
      <w:sz w:val="18"/>
      <w:szCs w:val="18"/>
    </w:rPr>
  </w:style>
  <w:style w:type="paragraph" w:styleId="15">
    <w:name w:val="toc 1"/>
    <w:basedOn w:val="1"/>
    <w:next w:val="1"/>
    <w:qFormat/>
    <w:uiPriority w:val="0"/>
    <w:pPr>
      <w:widowControl w:val="0"/>
      <w:jc w:val="both"/>
    </w:pPr>
    <w:rPr>
      <w:kern w:val="2"/>
      <w:sz w:val="21"/>
      <w:szCs w:val="24"/>
    </w:rPr>
  </w:style>
  <w:style w:type="paragraph" w:styleId="16">
    <w:name w:val="annotation subject"/>
    <w:basedOn w:val="8"/>
    <w:next w:val="8"/>
    <w:link w:val="37"/>
    <w:semiHidden/>
    <w:unhideWhenUsed/>
    <w:qFormat/>
    <w:uiPriority w:val="0"/>
    <w:rPr>
      <w:b/>
      <w:bCs/>
    </w:rPr>
  </w:style>
  <w:style w:type="paragraph" w:styleId="17">
    <w:name w:val="Body Text First Indent 2"/>
    <w:basedOn w:val="9"/>
    <w:qFormat/>
    <w:uiPriority w:val="0"/>
    <w:pPr>
      <w:spacing w:after="120"/>
      <w:ind w:left="420" w:leftChars="200" w:firstLine="420"/>
    </w:pPr>
  </w:style>
  <w:style w:type="character" w:styleId="20">
    <w:name w:val="annotation reference"/>
    <w:basedOn w:val="19"/>
    <w:semiHidden/>
    <w:unhideWhenUsed/>
    <w:qFormat/>
    <w:uiPriority w:val="0"/>
    <w:rPr>
      <w:sz w:val="21"/>
      <w:szCs w:val="21"/>
    </w:rPr>
  </w:style>
  <w:style w:type="character" w:customStyle="1" w:styleId="21">
    <w:name w:val="标题 1 字符"/>
    <w:basedOn w:val="19"/>
    <w:link w:val="5"/>
    <w:qFormat/>
    <w:uiPriority w:val="0"/>
    <w:rPr>
      <w:rFonts w:ascii="Tahoma" w:hAnsi="Tahoma" w:eastAsia="微软雅黑" w:cs="宋体"/>
      <w:b/>
      <w:bCs/>
      <w:kern w:val="44"/>
      <w:sz w:val="44"/>
      <w:szCs w:val="44"/>
    </w:rPr>
  </w:style>
  <w:style w:type="character" w:customStyle="1" w:styleId="22">
    <w:name w:val="页脚 字符"/>
    <w:basedOn w:val="19"/>
    <w:link w:val="13"/>
    <w:qFormat/>
    <w:uiPriority w:val="99"/>
    <w:rPr>
      <w:rFonts w:ascii="Tahoma" w:hAnsi="Tahoma" w:eastAsia="微软雅黑" w:cs="宋体"/>
      <w:kern w:val="0"/>
      <w:sz w:val="18"/>
      <w:szCs w:val="18"/>
    </w:rPr>
  </w:style>
  <w:style w:type="paragraph" w:customStyle="1" w:styleId="23">
    <w:name w:val="普通(网站)1"/>
    <w:basedOn w:val="1"/>
    <w:qFormat/>
    <w:uiPriority w:val="99"/>
    <w:pPr>
      <w:adjustRightInd/>
      <w:snapToGrid/>
      <w:spacing w:beforeAutospacing="1" w:afterAutospacing="1"/>
    </w:pPr>
    <w:rPr>
      <w:rFonts w:ascii="宋体" w:hAnsi="宋体" w:eastAsia="宋体"/>
      <w:sz w:val="24"/>
      <w:szCs w:val="24"/>
    </w:rPr>
  </w:style>
  <w:style w:type="paragraph" w:customStyle="1" w:styleId="24">
    <w:name w:val="&quot;样式 样式 样式 样式 小四 左 首行缩进:  2 字符 + 首行缩进:  2 字符 Char + 右  0 字符1 + 首行缩...3&quot;"/>
    <w:basedOn w:val="1"/>
    <w:qFormat/>
    <w:uiPriority w:val="0"/>
    <w:pPr>
      <w:widowControl w:val="0"/>
      <w:spacing w:line="360" w:lineRule="auto"/>
      <w:ind w:firstLine="480" w:firstLineChars="200"/>
    </w:pPr>
    <w:rPr>
      <w:kern w:val="2"/>
      <w:sz w:val="24"/>
      <w:szCs w:val="20"/>
    </w:rPr>
  </w:style>
  <w:style w:type="paragraph" w:customStyle="1" w:styleId="25">
    <w:name w:val="&quot;文字描述&quot;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spacing w:val="-2"/>
      <w:kern w:val="2"/>
      <w:sz w:val="24"/>
      <w:szCs w:val="24"/>
    </w:rPr>
  </w:style>
  <w:style w:type="paragraph" w:customStyle="1" w:styleId="26">
    <w:name w:val="&quot;样式 正文文本 + 首行缩进:  2 字符&quot;"/>
    <w:basedOn w:val="3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7">
    <w:name w:val="&quot;Table Paragraph&quot;"/>
    <w:basedOn w:val="1"/>
    <w:qFormat/>
    <w:uiPriority w:val="0"/>
    <w:pPr>
      <w:widowControl w:val="0"/>
      <w:jc w:val="both"/>
    </w:pPr>
    <w:rPr>
      <w:kern w:val="2"/>
      <w:sz w:val="21"/>
      <w:szCs w:val="24"/>
    </w:rPr>
  </w:style>
  <w:style w:type="paragraph" w:customStyle="1" w:styleId="28">
    <w:name w:val="&quot;表格标题&quot;"/>
    <w:basedOn w:val="1"/>
    <w:qFormat/>
    <w:uiPriority w:val="0"/>
    <w:pPr>
      <w:widowControl w:val="0"/>
      <w:spacing w:before="60" w:line="460" w:lineRule="atLeast"/>
      <w:jc w:val="center"/>
    </w:pPr>
    <w:rPr>
      <w:kern w:val="2"/>
      <w:sz w:val="24"/>
      <w:szCs w:val="24"/>
    </w:rPr>
  </w:style>
  <w:style w:type="paragraph" w:customStyle="1" w:styleId="29">
    <w:name w:val="&quot;表格&quot;"/>
    <w:basedOn w:val="1"/>
    <w:qFormat/>
    <w:uiPriority w:val="0"/>
    <w:pPr>
      <w:widowControl w:val="0"/>
      <w:jc w:val="center"/>
    </w:pPr>
    <w:rPr>
      <w:kern w:val="2"/>
      <w:sz w:val="21"/>
      <w:szCs w:val="21"/>
    </w:rPr>
  </w:style>
  <w:style w:type="paragraph" w:customStyle="1" w:styleId="30">
    <w:name w:val="&quot;p0&quot;"/>
    <w:basedOn w:val="1"/>
    <w:qFormat/>
    <w:uiPriority w:val="0"/>
    <w:pPr>
      <w:jc w:val="both"/>
    </w:pPr>
    <w:rPr>
      <w:sz w:val="21"/>
      <w:szCs w:val="21"/>
    </w:rPr>
  </w:style>
  <w:style w:type="paragraph" w:customStyle="1" w:styleId="31">
    <w:name w:val="&quot;表、图标题&quot;"/>
    <w:basedOn w:val="1"/>
    <w:qFormat/>
    <w:uiPriority w:val="0"/>
    <w:pPr>
      <w:widowControl w:val="0"/>
      <w:jc w:val="center"/>
    </w:pPr>
    <w:rPr>
      <w:b/>
      <w:bCs/>
      <w:sz w:val="21"/>
      <w:szCs w:val="18"/>
    </w:rPr>
  </w:style>
  <w:style w:type="paragraph" w:styleId="32">
    <w:name w:val="List Paragraph"/>
    <w:basedOn w:val="1"/>
    <w:qFormat/>
    <w:uiPriority w:val="0"/>
    <w:pPr>
      <w:widowControl w:val="0"/>
      <w:ind w:firstLine="420" w:firstLineChars="200"/>
      <w:jc w:val="both"/>
    </w:pPr>
    <w:rPr>
      <w:kern w:val="2"/>
      <w:sz w:val="21"/>
      <w:szCs w:val="24"/>
    </w:rPr>
  </w:style>
  <w:style w:type="paragraph" w:customStyle="1" w:styleId="33">
    <w:name w:val="&quot;Default&quot;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隶书" w:hAnsi="Times New Roman" w:eastAsia="隶书" w:cs="隶书"/>
      <w:color w:val="000000"/>
      <w:kern w:val="2"/>
      <w:sz w:val="24"/>
      <w:szCs w:val="24"/>
      <w:lang w:val="en-US" w:eastAsia="zh-CN" w:bidi="ar-SA"/>
    </w:rPr>
  </w:style>
  <w:style w:type="character" w:customStyle="1" w:styleId="34">
    <w:name w:val="纯文本 字符"/>
    <w:link w:val="10"/>
    <w:qFormat/>
    <w:uiPriority w:val="0"/>
    <w:rPr>
      <w:rFonts w:ascii="宋体" w:hAnsi="Courier New" w:eastAsia="微软雅黑" w:cs="宋体"/>
      <w:kern w:val="2"/>
      <w:sz w:val="21"/>
    </w:rPr>
  </w:style>
  <w:style w:type="paragraph" w:customStyle="1" w:styleId="35">
    <w:name w:val="样式 样式 样式 样式 小四 左 首行缩进:  2 字符 + 首行缩进:  2 字符 Char + 右  0 字符1 + 首行缩...3"/>
    <w:basedOn w:val="1"/>
    <w:qFormat/>
    <w:uiPriority w:val="99"/>
    <w:pPr>
      <w:widowControl w:val="0"/>
      <w:snapToGrid/>
      <w:spacing w:line="360" w:lineRule="auto"/>
      <w:ind w:firstLine="480" w:firstLineChars="200"/>
      <w:textAlignment w:val="baseline"/>
    </w:pPr>
    <w:rPr>
      <w:rFonts w:ascii="Times New Roman" w:hAnsi="Times New Roman" w:eastAsia="宋体"/>
      <w:kern w:val="2"/>
      <w:sz w:val="24"/>
      <w:szCs w:val="20"/>
    </w:rPr>
  </w:style>
  <w:style w:type="character" w:customStyle="1" w:styleId="36">
    <w:name w:val="批注文字 字符"/>
    <w:basedOn w:val="19"/>
    <w:link w:val="8"/>
    <w:semiHidden/>
    <w:qFormat/>
    <w:uiPriority w:val="0"/>
    <w:rPr>
      <w:rFonts w:ascii="Tahoma" w:hAnsi="Tahoma" w:eastAsia="微软雅黑" w:cs="宋体"/>
      <w:sz w:val="22"/>
      <w:szCs w:val="22"/>
    </w:rPr>
  </w:style>
  <w:style w:type="character" w:customStyle="1" w:styleId="37">
    <w:name w:val="批注主题 字符"/>
    <w:basedOn w:val="36"/>
    <w:link w:val="16"/>
    <w:semiHidden/>
    <w:qFormat/>
    <w:uiPriority w:val="0"/>
    <w:rPr>
      <w:rFonts w:ascii="Tahoma" w:hAnsi="Tahoma" w:eastAsia="微软雅黑" w:cs="宋体"/>
      <w:b/>
      <w:bCs/>
      <w:sz w:val="22"/>
      <w:szCs w:val="22"/>
    </w:rPr>
  </w:style>
  <w:style w:type="character" w:customStyle="1" w:styleId="38">
    <w:name w:val="批注框文本 字符"/>
    <w:basedOn w:val="19"/>
    <w:link w:val="12"/>
    <w:qFormat/>
    <w:uiPriority w:val="0"/>
    <w:rPr>
      <w:rFonts w:ascii="Tahoma" w:hAnsi="Tahoma" w:eastAsia="微软雅黑" w:cs="宋体"/>
      <w:sz w:val="18"/>
      <w:szCs w:val="18"/>
    </w:rPr>
  </w:style>
  <w:style w:type="paragraph" w:customStyle="1" w:styleId="39">
    <w:name w:val="表格"/>
    <w:basedOn w:val="7"/>
    <w:link w:val="40"/>
    <w:qFormat/>
    <w:uiPriority w:val="0"/>
    <w:pPr>
      <w:keepNext w:val="0"/>
      <w:keepLines w:val="0"/>
      <w:widowControl w:val="0"/>
      <w:suppressLineNumbers w:val="0"/>
      <w:autoSpaceDE/>
      <w:autoSpaceDN w:val="0"/>
      <w:adjustRightIn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仿宋_GB2312" w:cs="宋体"/>
      <w:kern w:val="0"/>
      <w:sz w:val="18"/>
      <w:szCs w:val="28"/>
      <w:lang w:val="en-US" w:eastAsia="zh-CN" w:bidi="ar"/>
    </w:rPr>
  </w:style>
  <w:style w:type="character" w:customStyle="1" w:styleId="40">
    <w:name w:val="表格 Char2"/>
    <w:basedOn w:val="19"/>
    <w:link w:val="39"/>
    <w:qFormat/>
    <w:uiPriority w:val="0"/>
    <w:rPr>
      <w:rFonts w:hint="eastAsia" w:ascii="仿宋_GB2312" w:eastAsia="仿宋_GB2312" w:cs="宋体"/>
      <w:sz w:val="18"/>
      <w:szCs w:val="28"/>
    </w:rPr>
  </w:style>
  <w:style w:type="paragraph" w:customStyle="1" w:styleId="41">
    <w:name w:val="样式 正文文本缩进 + 行距: 1.5 倍行距"/>
    <w:basedOn w:val="42"/>
    <w:next w:val="1"/>
    <w:qFormat/>
    <w:uiPriority w:val="0"/>
    <w:pPr>
      <w:spacing w:line="360" w:lineRule="auto"/>
      <w:ind w:left="90" w:leftChars="32" w:firstLine="560" w:firstLineChars="200"/>
    </w:pPr>
  </w:style>
  <w:style w:type="paragraph" w:customStyle="1" w:styleId="42">
    <w:name w:val="正文文本缩进1"/>
    <w:basedOn w:val="1"/>
    <w:next w:val="41"/>
    <w:qFormat/>
    <w:uiPriority w:val="0"/>
    <w:pPr>
      <w:spacing w:after="120"/>
      <w:ind w:left="420" w:leftChars="200"/>
    </w:pPr>
    <w:rPr>
      <w:rFonts w:ascii="Times New Roman" w:hAnsi="Times New Roman" w:eastAsia="宋体"/>
      <w:sz w:val="24"/>
    </w:rPr>
  </w:style>
  <w:style w:type="paragraph" w:customStyle="1" w:styleId="43">
    <w:name w:val="文字描述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pacing w:val="-2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3974</Words>
  <Characters>4570</Characters>
  <Lines>28</Lines>
  <Paragraphs>8</Paragraphs>
  <TotalTime>12</TotalTime>
  <ScaleCrop>false</ScaleCrop>
  <LinksUpToDate>false</LinksUpToDate>
  <CharactersWithSpaces>4653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2023-02-17T14:39:00Z</dcterms:created>
  <dc:creator>Dell</dc:creator>
  <cp:lastModifiedBy>张龙</cp:lastModifiedBy>
  <cp:lastPrinted>2025-02-15T01:32:00Z</cp:lastPrinted>
  <dcterms:modified xsi:type="dcterms:W3CDTF">2025-02-15T03:34:10Z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670E076A35954A2C989B151233B0EA21</vt:lpwstr>
  </property>
  <property fmtid="{D5CDD505-2E9C-101B-9397-08002B2CF9AE}" pid="4" name="KSOTemplateDocerSaveRecord">
    <vt:lpwstr>eyJoZGlkIjoiZDg4M2I0M2NhOWZmM2FjNmYyMDJkZThmNWY3MTczNTAiLCJ1c2VySWQiOiIxMDU2NjcwMTQxIn0=</vt:lpwstr>
  </property>
</Properties>
</file>